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64D6" w14:textId="4837A9D6" w:rsidR="008C1D48" w:rsidRPr="008C1D48" w:rsidRDefault="00932BD0" w:rsidP="00FB159B">
      <w:pPr>
        <w:shd w:val="clear" w:color="auto" w:fill="FFFFFF"/>
        <w:spacing w:after="200"/>
        <w:textAlignment w:val="baseline"/>
        <w:outlineLvl w:val="0"/>
        <w:rPr>
          <w:rFonts w:ascii="Titillium Web" w:eastAsia="Times New Roman" w:hAnsi="Titillium Web" w:cs="Times New Roman"/>
          <w:b/>
          <w:bCs/>
          <w:color w:val="003269"/>
          <w:kern w:val="36"/>
          <w:sz w:val="28"/>
          <w:szCs w:val="28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003269"/>
          <w:kern w:val="36"/>
          <w:sz w:val="28"/>
          <w:szCs w:val="28"/>
          <w14:ligatures w14:val="none"/>
        </w:rPr>
        <w:t>Recent Florida Roofing Legislation Changes</w:t>
      </w:r>
    </w:p>
    <w:p w14:paraId="688B5768" w14:textId="77777777" w:rsidR="008C1D48" w:rsidRDefault="008C1D48" w:rsidP="00932BD0">
      <w:pPr>
        <w:shd w:val="clear" w:color="auto" w:fill="FFFFFF"/>
        <w:textAlignment w:val="baseline"/>
        <w:rPr>
          <w:rFonts w:ascii="Titillium Web" w:eastAsia="Times New Roman" w:hAnsi="Titillium Web" w:cs="Times New Roman"/>
          <w:b/>
          <w:bCs/>
          <w:color w:val="003269"/>
          <w:kern w:val="0"/>
          <w:sz w:val="28"/>
          <w:szCs w:val="27"/>
          <w14:ligatures w14:val="none"/>
        </w:rPr>
      </w:pPr>
      <w:r w:rsidRPr="008C1D48">
        <w:rPr>
          <w:rFonts w:ascii="Titillium Web" w:eastAsia="Times New Roman" w:hAnsi="Titillium Web" w:cs="Times New Roman"/>
          <w:b/>
          <w:bCs/>
          <w:color w:val="003269"/>
          <w:kern w:val="0"/>
          <w:sz w:val="28"/>
          <w:szCs w:val="27"/>
          <w14:ligatures w14:val="none"/>
        </w:rPr>
        <w:t>Laina Bauer</w:t>
      </w:r>
    </w:p>
    <w:p w14:paraId="2ABD8AA2" w14:textId="2505AED3" w:rsidR="00932BD0" w:rsidRPr="008C1D48" w:rsidRDefault="00932BD0" w:rsidP="008C1D48">
      <w:pPr>
        <w:shd w:val="clear" w:color="auto" w:fill="FFFFFF"/>
        <w:spacing w:after="200"/>
        <w:textAlignment w:val="baseline"/>
        <w:rPr>
          <w:rFonts w:ascii="Titillium Web" w:eastAsia="Times New Roman" w:hAnsi="Titillium Web" w:cs="Times New Roman"/>
          <w:b/>
          <w:bCs/>
          <w:color w:val="003269"/>
          <w:kern w:val="0"/>
          <w:sz w:val="28"/>
          <w:szCs w:val="27"/>
          <w14:ligatures w14:val="none"/>
        </w:rPr>
      </w:pPr>
      <w:r>
        <w:rPr>
          <w:rFonts w:ascii="Titillium Web" w:hAnsi="Titillium Web"/>
          <w:color w:val="003269"/>
          <w:sz w:val="27"/>
          <w:szCs w:val="27"/>
          <w:shd w:val="clear" w:color="auto" w:fill="FFFFFF"/>
        </w:rPr>
        <w:t>Jun 05, 2024</w:t>
      </w:r>
    </w:p>
    <w:p w14:paraId="5F11204C" w14:textId="2D89494F" w:rsidR="00932BD0" w:rsidRPr="00932BD0" w:rsidRDefault="00932BD0" w:rsidP="00932BD0">
      <w:pPr>
        <w:shd w:val="clear" w:color="auto" w:fill="FFFFFF"/>
        <w:spacing w:after="280"/>
        <w:textAlignment w:val="baseline"/>
        <w:outlineLvl w:val="2"/>
        <w:rPr>
          <w:rFonts w:ascii="Titillium Web" w:eastAsia="Times New Roman" w:hAnsi="Titillium Web" w:cs="Times New Roman"/>
          <w:color w:val="003269"/>
          <w:kern w:val="0"/>
          <w14:ligatures w14:val="none"/>
        </w:rPr>
      </w:pPr>
      <w:r w:rsidRPr="00932BD0">
        <w:rPr>
          <w:rFonts w:ascii="Titillium Web" w:eastAsia="Times New Roman" w:hAnsi="Titillium Web" w:cs="Times New Roman"/>
          <w:color w:val="003269"/>
          <w:kern w:val="0"/>
          <w14:ligatures w14:val="none"/>
        </w:rPr>
        <w:t xml:space="preserve">Extracted From: </w:t>
      </w:r>
      <w:r w:rsidRPr="00932BD0">
        <w:rPr>
          <w:rFonts w:ascii="Titillium Web" w:eastAsia="Times New Roman" w:hAnsi="Titillium Web" w:cs="Times New Roman"/>
          <w:color w:val="716C80"/>
          <w:kern w:val="0"/>
          <w14:ligatures w14:val="none"/>
        </w:rPr>
        <w:t>https://floridapace.gov/blog/home-insurance-roof-requirements</w:t>
      </w:r>
    </w:p>
    <w:p w14:paraId="4AF00E89" w14:textId="77777777" w:rsidR="00932BD0" w:rsidRDefault="00932BD0" w:rsidP="008C1D48">
      <w:pPr>
        <w:shd w:val="clear" w:color="auto" w:fill="FFFFFF"/>
        <w:spacing w:after="200"/>
        <w:textAlignment w:val="baseline"/>
        <w:outlineLvl w:val="2"/>
        <w:rPr>
          <w:rFonts w:ascii="Titillium Web" w:eastAsia="Times New Roman" w:hAnsi="Titillium Web" w:cs="Times New Roman"/>
          <w:b/>
          <w:bCs/>
          <w:color w:val="57468C"/>
          <w:kern w:val="0"/>
          <w:sz w:val="28"/>
          <w:szCs w:val="28"/>
          <w14:ligatures w14:val="none"/>
        </w:rPr>
      </w:pPr>
    </w:p>
    <w:p w14:paraId="70838A6C" w14:textId="77777777" w:rsidR="00932BD0" w:rsidRDefault="00932BD0" w:rsidP="008C1D48">
      <w:pPr>
        <w:shd w:val="clear" w:color="auto" w:fill="FFFFFF"/>
        <w:spacing w:after="200"/>
        <w:textAlignment w:val="baseline"/>
        <w:outlineLvl w:val="2"/>
        <w:rPr>
          <w:rFonts w:ascii="Titillium Web" w:eastAsia="Times New Roman" w:hAnsi="Titillium Web" w:cs="Times New Roman"/>
          <w:b/>
          <w:bCs/>
          <w:color w:val="57468C"/>
          <w:kern w:val="0"/>
          <w:sz w:val="28"/>
          <w:szCs w:val="28"/>
          <w14:ligatures w14:val="none"/>
        </w:rPr>
      </w:pPr>
    </w:p>
    <w:p w14:paraId="232055DF" w14:textId="0DC9F265" w:rsidR="008C1D48" w:rsidRPr="008C1D48" w:rsidRDefault="008C1D48" w:rsidP="006B3363">
      <w:pPr>
        <w:shd w:val="clear" w:color="auto" w:fill="FFFFFF"/>
        <w:tabs>
          <w:tab w:val="left" w:pos="6046"/>
        </w:tabs>
        <w:spacing w:after="200"/>
        <w:textAlignment w:val="baseline"/>
        <w:outlineLvl w:val="2"/>
        <w:rPr>
          <w:rFonts w:ascii="Titillium Web" w:eastAsia="Times New Roman" w:hAnsi="Titillium Web" w:cs="Times New Roman"/>
          <w:b/>
          <w:bCs/>
          <w:color w:val="57468C"/>
          <w:kern w:val="0"/>
          <w:sz w:val="28"/>
          <w:szCs w:val="28"/>
          <w14:ligatures w14:val="none"/>
        </w:rPr>
      </w:pPr>
      <w:r w:rsidRPr="008C1D48">
        <w:rPr>
          <w:rFonts w:ascii="Titillium Web" w:eastAsia="Times New Roman" w:hAnsi="Titillium Web" w:cs="Times New Roman"/>
          <w:b/>
          <w:bCs/>
          <w:color w:val="57468C"/>
          <w:kern w:val="0"/>
          <w:sz w:val="28"/>
          <w:szCs w:val="28"/>
          <w14:ligatures w14:val="none"/>
        </w:rPr>
        <w:t>May 2022: Senate Bill 2D</w:t>
      </w:r>
      <w:r w:rsidR="006B3363">
        <w:rPr>
          <w:rFonts w:ascii="Titillium Web" w:eastAsia="Times New Roman" w:hAnsi="Titillium Web" w:cs="Times New Roman"/>
          <w:b/>
          <w:bCs/>
          <w:color w:val="57468C"/>
          <w:kern w:val="0"/>
          <w:sz w:val="28"/>
          <w:szCs w:val="28"/>
          <w14:ligatures w14:val="none"/>
        </w:rPr>
        <w:tab/>
      </w:r>
    </w:p>
    <w:p w14:paraId="2A8B0CFA" w14:textId="77777777" w:rsidR="008C1D48" w:rsidRPr="008C1D48" w:rsidRDefault="008C1D48" w:rsidP="008C1D48">
      <w:pPr>
        <w:shd w:val="clear" w:color="auto" w:fill="FFFFFF"/>
        <w:spacing w:after="200"/>
        <w:textAlignment w:val="baseline"/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</w:pPr>
      <w:r w:rsidRPr="008C1D48"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  <w:t>In May 2022, Florida enacted </w:t>
      </w:r>
      <w:hyperlink r:id="rId5" w:tgtFrame="_blank" w:history="1">
        <w:r w:rsidRPr="008C1D48">
          <w:rPr>
            <w:rFonts w:ascii="Titillium Web" w:eastAsia="Times New Roman" w:hAnsi="Titillium Web" w:cs="Times New Roman"/>
            <w:b/>
            <w:bCs/>
            <w:color w:val="58468C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Senate Bill 2D</w:t>
        </w:r>
      </w:hyperlink>
      <w:r w:rsidRPr="008C1D48"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  <w:t>, which introduced new roof requirements for homeowners insurance policies:</w:t>
      </w:r>
    </w:p>
    <w:p w14:paraId="337D98CE" w14:textId="77777777" w:rsidR="008C1D48" w:rsidRPr="008C1D48" w:rsidRDefault="008C1D48" w:rsidP="008C1D48">
      <w:pPr>
        <w:shd w:val="clear" w:color="auto" w:fill="FFFFFF"/>
        <w:spacing w:after="200"/>
        <w:textAlignment w:val="baseline"/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</w:pPr>
      <w:r w:rsidRPr="008C1D48"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  <w:t>Insurers cannot deny coverage solely based on roof age if under 15 years old</w:t>
      </w:r>
      <w:r w:rsidRPr="008C1D48"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  <w:br/>
      </w:r>
      <w:r w:rsidRPr="008C1D48">
        <w:rPr>
          <w:rFonts w:ascii="Titillium Web" w:eastAsia="Times New Roman" w:hAnsi="Titillium Web" w:cs="Times New Roman"/>
          <w:color w:val="716C80"/>
          <w:kern w:val="0"/>
          <w:sz w:val="28"/>
          <w:szCs w:val="28"/>
          <w:highlight w:val="yellow"/>
          <w14:ligatures w14:val="none"/>
        </w:rPr>
        <w:t>For roofs over 15 years, homeowners can get them inspected and certified to have at least five more years of useful life instead of requiring immediate replacement</w:t>
      </w:r>
    </w:p>
    <w:p w14:paraId="745BE356" w14:textId="77777777" w:rsidR="008C1D48" w:rsidRPr="008C1D48" w:rsidRDefault="008C1D48" w:rsidP="008C1D48">
      <w:pPr>
        <w:shd w:val="clear" w:color="auto" w:fill="FFFFFF"/>
        <w:spacing w:after="200"/>
        <w:textAlignment w:val="baseline"/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</w:pPr>
      <w:r w:rsidRPr="008C1D48"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  <w:t>SB 2D also eliminated the 25% roof replacement rule for homes built after March 2009 that comply with the 2007 or later Florida Building Code. Only the damaged portion needs repair/replacement.</w:t>
      </w:r>
    </w:p>
    <w:p w14:paraId="0DCD7DA6" w14:textId="77777777" w:rsidR="008C1D48" w:rsidRPr="008C1D48" w:rsidRDefault="008C1D48" w:rsidP="008C1D48">
      <w:pPr>
        <w:numPr>
          <w:ilvl w:val="0"/>
          <w:numId w:val="2"/>
        </w:numPr>
        <w:shd w:val="clear" w:color="auto" w:fill="FFFFFF"/>
        <w:spacing w:after="200"/>
        <w:textAlignment w:val="baseline"/>
        <w:rPr>
          <w:rFonts w:ascii="Titillium Web" w:eastAsia="Times New Roman" w:hAnsi="Titillium Web" w:cs="Times New Roman"/>
          <w:color w:val="00234A"/>
          <w:kern w:val="0"/>
          <w:sz w:val="28"/>
          <w:szCs w:val="28"/>
          <w14:ligatures w14:val="none"/>
        </w:rPr>
      </w:pPr>
      <w:r w:rsidRPr="008C1D48">
        <w:rPr>
          <w:rFonts w:ascii="Titillium Web" w:eastAsia="Times New Roman" w:hAnsi="Titillium Web" w:cs="Times New Roman"/>
          <w:color w:val="00234A"/>
          <w:kern w:val="0"/>
          <w:sz w:val="28"/>
          <w:szCs w:val="28"/>
          <w14:ligatures w14:val="none"/>
        </w:rPr>
        <w:t>Elimination of the 25% roof replacement rule for post-2009 homes: This adjustment simplifies the decision-making process for repairs, reducing the need for comprehensive replacements under certain conditions.</w:t>
      </w:r>
    </w:p>
    <w:p w14:paraId="1F5A124A" w14:textId="77777777" w:rsidR="008C1D48" w:rsidRPr="008C1D48" w:rsidRDefault="008C1D48" w:rsidP="008C1D48">
      <w:pPr>
        <w:numPr>
          <w:ilvl w:val="0"/>
          <w:numId w:val="2"/>
        </w:numPr>
        <w:shd w:val="clear" w:color="auto" w:fill="FFFFFF"/>
        <w:spacing w:after="200"/>
        <w:textAlignment w:val="baseline"/>
        <w:rPr>
          <w:rFonts w:ascii="Titillium Web" w:eastAsia="Times New Roman" w:hAnsi="Titillium Web" w:cs="Times New Roman"/>
          <w:color w:val="00234A"/>
          <w:kern w:val="0"/>
          <w:sz w:val="28"/>
          <w:szCs w:val="28"/>
          <w14:ligatures w14:val="none"/>
        </w:rPr>
      </w:pPr>
      <w:r w:rsidRPr="008C1D48">
        <w:rPr>
          <w:rFonts w:ascii="Titillium Web" w:eastAsia="Times New Roman" w:hAnsi="Titillium Web" w:cs="Times New Roman"/>
          <w:color w:val="00234A"/>
          <w:kern w:val="0"/>
          <w:sz w:val="28"/>
          <w:szCs w:val="28"/>
          <w14:ligatures w14:val="none"/>
        </w:rPr>
        <w:t>Allowing repair of only damaged roof portions if remaining areas meet 2007 code: This provides flexibility for homeowners, focusing repairs only where necessary, which can be cost-effective and less disruptive.</w:t>
      </w:r>
    </w:p>
    <w:p w14:paraId="13622F3D" w14:textId="55B4577B" w:rsidR="00FB159B" w:rsidRPr="00FB159B" w:rsidRDefault="00FB159B" w:rsidP="00FB159B">
      <w:pPr>
        <w:shd w:val="clear" w:color="auto" w:fill="FFFFFF"/>
        <w:spacing w:after="200"/>
        <w:textAlignment w:val="baseline"/>
        <w:rPr>
          <w:rFonts w:ascii="Titillium Web" w:eastAsia="Times New Roman" w:hAnsi="Titillium Web" w:cs="Times New Roman"/>
          <w:color w:val="716C80"/>
          <w:kern w:val="0"/>
          <w:sz w:val="28"/>
          <w:szCs w:val="28"/>
          <w14:ligatures w14:val="none"/>
        </w:rPr>
      </w:pPr>
    </w:p>
    <w:sectPr w:rsidR="00FB159B" w:rsidRPr="00FB1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M Fell Double Pica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1D3F"/>
    <w:multiLevelType w:val="multilevel"/>
    <w:tmpl w:val="540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65F7D"/>
    <w:multiLevelType w:val="multilevel"/>
    <w:tmpl w:val="EF6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C6A15"/>
    <w:multiLevelType w:val="multilevel"/>
    <w:tmpl w:val="F0B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369888">
    <w:abstractNumId w:val="0"/>
  </w:num>
  <w:num w:numId="2" w16cid:durableId="2128313060">
    <w:abstractNumId w:val="1"/>
  </w:num>
  <w:num w:numId="3" w16cid:durableId="535702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8"/>
    <w:rsid w:val="001B46DC"/>
    <w:rsid w:val="006B3363"/>
    <w:rsid w:val="008C1D48"/>
    <w:rsid w:val="00932BD0"/>
    <w:rsid w:val="00961522"/>
    <w:rsid w:val="00B03CBF"/>
    <w:rsid w:val="00B15293"/>
    <w:rsid w:val="00BD0A49"/>
    <w:rsid w:val="00D13A30"/>
    <w:rsid w:val="00D35D58"/>
    <w:rsid w:val="00F235F3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E662"/>
  <w15:chartTrackingRefBased/>
  <w15:docId w15:val="{133EA33F-EF7A-BB4D-B2A4-AA6F9E3F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5F3"/>
    <w:pPr>
      <w:spacing w:before="168"/>
      <w:jc w:val="center"/>
      <w:outlineLvl w:val="0"/>
    </w:pPr>
    <w:rPr>
      <w:rFonts w:ascii="Palatino" w:eastAsia="IM Fell Double Pica" w:hAnsi="Palatino" w:cs="IM Fell Double Pica"/>
      <w:smallCaps/>
      <w:color w:val="000000"/>
      <w:szCs w:val="1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D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D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D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D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5F3"/>
    <w:rPr>
      <w:rFonts w:ascii="Palatino" w:eastAsia="IM Fell Double Pica" w:hAnsi="Palatino" w:cs="IM Fell Double Pica"/>
      <w:smallCaps/>
      <w:color w:val="000000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C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D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D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D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D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C1D4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1D48"/>
  </w:style>
  <w:style w:type="character" w:customStyle="1" w:styleId="date">
    <w:name w:val="date"/>
    <w:basedOn w:val="DefaultParagraphFont"/>
    <w:rsid w:val="008C1D48"/>
  </w:style>
  <w:style w:type="character" w:customStyle="1" w:styleId="reading-time">
    <w:name w:val="reading-time"/>
    <w:basedOn w:val="DefaultParagraphFont"/>
    <w:rsid w:val="008C1D48"/>
  </w:style>
  <w:style w:type="paragraph" w:styleId="NormalWeb">
    <w:name w:val="Normal (Web)"/>
    <w:basedOn w:val="Normal"/>
    <w:uiPriority w:val="99"/>
    <w:semiHidden/>
    <w:unhideWhenUsed/>
    <w:rsid w:val="008C1D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790">
                      <w:marLeft w:val="0"/>
                      <w:marRight w:val="0"/>
                      <w:marTop w:val="638"/>
                      <w:marBottom w:val="6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09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senate.gov/Committees/BillSummaries/2022D/html/28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Synk</dc:creator>
  <cp:keywords/>
  <dc:description/>
  <cp:lastModifiedBy>Mary Synk</cp:lastModifiedBy>
  <cp:revision>2</cp:revision>
  <cp:lastPrinted>2025-01-20T15:06:00Z</cp:lastPrinted>
  <dcterms:created xsi:type="dcterms:W3CDTF">2025-01-20T14:45:00Z</dcterms:created>
  <dcterms:modified xsi:type="dcterms:W3CDTF">2025-01-20T15:07:00Z</dcterms:modified>
</cp:coreProperties>
</file>